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80" w:tblpY="1"/>
        <w:tblW w:w="9356" w:type="dxa"/>
        <w:tblLook w:val="01E0" w:firstRow="1" w:lastRow="1" w:firstColumn="1" w:lastColumn="1" w:noHBand="0" w:noVBand="0"/>
      </w:tblPr>
      <w:tblGrid>
        <w:gridCol w:w="4253"/>
        <w:gridCol w:w="5103"/>
      </w:tblGrid>
      <w:tr w:rsidR="00DB4C8D" w:rsidRPr="00397567" w14:paraId="76AA1111" w14:textId="77777777" w:rsidTr="00DB626A">
        <w:trPr>
          <w:trHeight w:val="1269"/>
        </w:trPr>
        <w:tc>
          <w:tcPr>
            <w:tcW w:w="4253" w:type="dxa"/>
            <w:shd w:val="clear" w:color="auto" w:fill="auto"/>
          </w:tcPr>
          <w:p w14:paraId="0B3A77A9" w14:textId="77777777" w:rsidR="00DB4C8D" w:rsidRPr="00397567" w:rsidRDefault="00DB4C8D" w:rsidP="00DB4C8D">
            <w:pPr>
              <w:widowControl w:val="0"/>
              <w:spacing w:after="0" w:line="240" w:lineRule="auto"/>
              <w:jc w:val="center"/>
              <w:rPr>
                <w:b/>
                <w:color w:val="000000" w:themeColor="text1"/>
                <w:w w:val="90"/>
                <w:sz w:val="26"/>
              </w:rPr>
            </w:pPr>
            <w:r w:rsidRPr="00397567">
              <w:rPr>
                <w:color w:val="000000" w:themeColor="text1"/>
                <w:w w:val="90"/>
                <w:sz w:val="26"/>
              </w:rPr>
              <w:t>BẢO HIỂM XÃ HỘI VIỆT NAM</w:t>
            </w:r>
          </w:p>
          <w:p w14:paraId="5D0D5174" w14:textId="77777777" w:rsidR="00DB4C8D" w:rsidRPr="00397567" w:rsidRDefault="00DB4C8D" w:rsidP="00DB4C8D">
            <w:pPr>
              <w:widowControl w:val="0"/>
              <w:spacing w:after="0" w:line="240" w:lineRule="auto"/>
              <w:jc w:val="center"/>
              <w:rPr>
                <w:b/>
                <w:color w:val="000000" w:themeColor="text1"/>
                <w:w w:val="90"/>
                <w:sz w:val="26"/>
              </w:rPr>
            </w:pPr>
            <w:r w:rsidRPr="00397567">
              <w:rPr>
                <w:b/>
                <w:color w:val="000000" w:themeColor="text1"/>
                <w:w w:val="90"/>
                <w:sz w:val="26"/>
              </w:rPr>
              <w:t>BẢO HIỂM XÃ HỘI TỈNH AN GIANG</w:t>
            </w:r>
          </w:p>
          <w:p w14:paraId="62FABEC8" w14:textId="373E9E1E" w:rsidR="00DB4C8D" w:rsidRPr="00397567" w:rsidRDefault="00DB4C8D" w:rsidP="00DB4C8D">
            <w:pPr>
              <w:widowControl w:val="0"/>
              <w:spacing w:after="0" w:line="240" w:lineRule="auto"/>
              <w:rPr>
                <w:color w:val="000000" w:themeColor="text1"/>
                <w:sz w:val="26"/>
              </w:rPr>
            </w:pPr>
            <w:r w:rsidRPr="008D7A68">
              <w:rPr>
                <w:noProof/>
                <w:sz w:val="26"/>
              </w:rPr>
              <mc:AlternateContent>
                <mc:Choice Requires="wps">
                  <w:drawing>
                    <wp:anchor distT="4294967295" distB="4294967295" distL="114300" distR="114300" simplePos="0" relativeHeight="251659264" behindDoc="0" locked="0" layoutInCell="1" allowOverlap="1" wp14:anchorId="755DA705" wp14:editId="24DD4FBF">
                      <wp:simplePos x="0" y="0"/>
                      <wp:positionH relativeFrom="column">
                        <wp:posOffset>862965</wp:posOffset>
                      </wp:positionH>
                      <wp:positionV relativeFrom="paragraph">
                        <wp:posOffset>15875</wp:posOffset>
                      </wp:positionV>
                      <wp:extent cx="8648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4D8D11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25pt" to="13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"/>
                  </w:pict>
                </mc:Fallback>
              </mc:AlternateContent>
            </w:r>
            <w:r w:rsidRPr="004E2796">
              <w:rPr>
                <w:color w:val="FFFFFF" w:themeColor="background1"/>
                <w:sz w:val="26"/>
              </w:rPr>
              <w:t xml:space="preserve"> -BHXH</w:t>
            </w:r>
          </w:p>
        </w:tc>
        <w:tc>
          <w:tcPr>
            <w:tcW w:w="5103" w:type="dxa"/>
            <w:shd w:val="clear" w:color="auto" w:fill="auto"/>
          </w:tcPr>
          <w:p w14:paraId="4875F139" w14:textId="77777777" w:rsidR="00DB4C8D" w:rsidRPr="00397567" w:rsidRDefault="00DB4C8D" w:rsidP="00DB4C8D">
            <w:pPr>
              <w:widowControl w:val="0"/>
              <w:spacing w:after="0" w:line="240" w:lineRule="auto"/>
              <w:jc w:val="center"/>
              <w:rPr>
                <w:b/>
                <w:color w:val="000000" w:themeColor="text1"/>
                <w:sz w:val="26"/>
              </w:rPr>
            </w:pPr>
            <w:r w:rsidRPr="00397567">
              <w:rPr>
                <w:b/>
                <w:color w:val="000000" w:themeColor="text1"/>
                <w:w w:val="90"/>
                <w:sz w:val="26"/>
              </w:rPr>
              <w:t>CỘNG HÒA XÃ HỘI CHỦ NGHĨA VIỆT NAM</w:t>
            </w:r>
          </w:p>
          <w:p w14:paraId="6FB3E721" w14:textId="77777777" w:rsidR="00DB4C8D" w:rsidRPr="00397567" w:rsidRDefault="00DB4C8D" w:rsidP="00DB4C8D">
            <w:pPr>
              <w:widowControl w:val="0"/>
              <w:spacing w:after="0" w:line="240" w:lineRule="auto"/>
              <w:jc w:val="center"/>
              <w:rPr>
                <w:b/>
                <w:color w:val="000000" w:themeColor="text1"/>
              </w:rPr>
            </w:pPr>
            <w:r>
              <w:rPr>
                <w:b/>
                <w:color w:val="000000" w:themeColor="text1"/>
              </w:rPr>
              <w:t xml:space="preserve">  </w:t>
            </w:r>
            <w:r w:rsidRPr="00397567">
              <w:rPr>
                <w:b/>
                <w:color w:val="000000" w:themeColor="text1"/>
              </w:rPr>
              <w:t>Độc lập - Tự do - Hạnh phúc</w:t>
            </w:r>
          </w:p>
          <w:p w14:paraId="63B6CB81" w14:textId="1A03F999" w:rsidR="00DB4C8D" w:rsidRPr="00175BCE" w:rsidRDefault="00DB4C8D" w:rsidP="00DB4C8D">
            <w:pPr>
              <w:widowControl w:val="0"/>
              <w:spacing w:before="240" w:after="0" w:line="240" w:lineRule="auto"/>
              <w:jc w:val="center"/>
              <w:rPr>
                <w:b/>
                <w:color w:val="000000" w:themeColor="text1"/>
              </w:rPr>
            </w:pPr>
            <w:r w:rsidRPr="00175BCE">
              <w:rPr>
                <w:noProof/>
                <w:color w:val="000000" w:themeColor="text1"/>
              </w:rPr>
              <mc:AlternateContent>
                <mc:Choice Requires="wps">
                  <w:drawing>
                    <wp:anchor distT="4294967295" distB="4294967295" distL="114300" distR="114300" simplePos="0" relativeHeight="251660288" behindDoc="0" locked="0" layoutInCell="1" allowOverlap="1" wp14:anchorId="59491FA3" wp14:editId="654F9478">
                      <wp:simplePos x="0" y="0"/>
                      <wp:positionH relativeFrom="column">
                        <wp:posOffset>477520</wp:posOffset>
                      </wp:positionH>
                      <wp:positionV relativeFrom="paragraph">
                        <wp:posOffset>11430</wp:posOffset>
                      </wp:positionV>
                      <wp:extent cx="22034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537888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pt,.9pt" to="21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"/>
                  </w:pict>
                </mc:Fallback>
              </mc:AlternateContent>
            </w:r>
            <w:r w:rsidRPr="00175BCE">
              <w:rPr>
                <w:i/>
                <w:color w:val="000000" w:themeColor="text1"/>
              </w:rPr>
              <w:t xml:space="preserve">  </w:t>
            </w:r>
            <w:r w:rsidRPr="00E32E27">
              <w:rPr>
                <w:i/>
                <w:color w:val="000000" w:themeColor="text1"/>
                <w:sz w:val="26"/>
              </w:rPr>
              <w:t xml:space="preserve">An Giang, ngày </w:t>
            </w:r>
            <w:r w:rsidR="002E1482">
              <w:rPr>
                <w:i/>
                <w:color w:val="000000" w:themeColor="text1"/>
                <w:sz w:val="26"/>
              </w:rPr>
              <w:t>24</w:t>
            </w:r>
            <w:r w:rsidRPr="00E32E27">
              <w:rPr>
                <w:i/>
                <w:color w:val="000000" w:themeColor="text1"/>
                <w:sz w:val="26"/>
              </w:rPr>
              <w:t xml:space="preserve"> tháng </w:t>
            </w:r>
            <w:r w:rsidR="002E1482">
              <w:rPr>
                <w:i/>
                <w:color w:val="000000" w:themeColor="text1"/>
                <w:sz w:val="26"/>
              </w:rPr>
              <w:t>02</w:t>
            </w:r>
            <w:r w:rsidRPr="00E32E27">
              <w:rPr>
                <w:i/>
                <w:color w:val="000000" w:themeColor="text1"/>
                <w:sz w:val="26"/>
              </w:rPr>
              <w:t xml:space="preserve"> năm 202</w:t>
            </w:r>
            <w:r w:rsidR="002E1482">
              <w:rPr>
                <w:i/>
                <w:color w:val="000000" w:themeColor="text1"/>
                <w:sz w:val="26"/>
              </w:rPr>
              <w:t>5</w:t>
            </w:r>
          </w:p>
        </w:tc>
      </w:tr>
    </w:tbl>
    <w:p w14:paraId="09906621" w14:textId="77777777" w:rsidR="00DB4C8D" w:rsidRPr="00DB4C8D" w:rsidRDefault="00DB4C8D" w:rsidP="00E33D73">
      <w:pPr>
        <w:jc w:val="center"/>
      </w:pPr>
    </w:p>
    <w:p w14:paraId="6A54E259" w14:textId="4708917E" w:rsidR="00E33D73" w:rsidRDefault="00B52DEF" w:rsidP="00E33D73">
      <w:pPr>
        <w:jc w:val="center"/>
        <w:rPr>
          <w:b/>
          <w:bCs/>
        </w:rPr>
      </w:pPr>
      <w:r w:rsidRPr="00B52DEF">
        <w:rPr>
          <w:b/>
          <w:bCs/>
        </w:rPr>
        <w:t>THAM LUẬN</w:t>
      </w:r>
    </w:p>
    <w:p w14:paraId="4347F393" w14:textId="750D467B" w:rsidR="00B52DEF" w:rsidRDefault="00B52DEF" w:rsidP="00E33D73">
      <w:pPr>
        <w:jc w:val="center"/>
        <w:rPr>
          <w:b/>
          <w:bCs/>
        </w:rPr>
      </w:pPr>
      <w:r w:rsidRPr="00B52DEF">
        <w:rPr>
          <w:b/>
          <w:bCs/>
        </w:rPr>
        <w:t>CÔNG TÁC PHỐI HỢP TRONG CHI TRẢ KHÔNG DÙNG TIỀN MẶT VÀ CẬP NHẬT, ĐỒNG BỘ DỮ LIỆU NGƯỜI THAM GIA BHXH, BHYT VỚI CƠ SỞ DỮ LIỆU QUỐC GIA VỀ DÂN CƯ</w:t>
      </w:r>
    </w:p>
    <w:p w14:paraId="0C5E555B" w14:textId="77777777" w:rsidR="00E33D73" w:rsidRPr="00B52DEF" w:rsidRDefault="00E33D73" w:rsidP="00E33D73">
      <w:pPr>
        <w:jc w:val="center"/>
      </w:pPr>
    </w:p>
    <w:p w14:paraId="3A583594" w14:textId="77777777" w:rsidR="00B52DEF" w:rsidRPr="00B52DEF" w:rsidRDefault="00B52DEF" w:rsidP="00E33D73">
      <w:pPr>
        <w:ind w:firstLine="720"/>
        <w:jc w:val="both"/>
      </w:pPr>
      <w:r w:rsidRPr="00B52DEF">
        <w:rPr>
          <w:b/>
          <w:bCs/>
        </w:rPr>
        <w:t>Kính thưa Quý đại biểu,</w:t>
      </w:r>
    </w:p>
    <w:p w14:paraId="650C4D2C" w14:textId="22ACEFEB" w:rsidR="00B52DEF" w:rsidRPr="00B52DEF" w:rsidRDefault="00B52DEF" w:rsidP="00E33D73">
      <w:pPr>
        <w:ind w:firstLine="720"/>
        <w:jc w:val="both"/>
      </w:pPr>
      <w:r w:rsidRPr="00B52DEF">
        <w:t xml:space="preserve">Trong bối cảnh chuyển đổi số mạnh mẽ, ngành Bảo hiểm </w:t>
      </w:r>
      <w:r w:rsidR="00E33D73">
        <w:t>x</w:t>
      </w:r>
      <w:r w:rsidRPr="00B52DEF">
        <w:t>ã hội (BHXH) Việt Nam nói chung và BHXH tỉnh An Giang nói riêng đã chủ động đẩy mạnh ứng dụng công nghệ thông tin, từng bước số hóa các hoạt động quản lý, nhằm nâng cao chất lượng phục vụ người dân và doanh nghiệp. Một trong những nội dung trọng tâm của công tác chuyển đổi số trong lĩnh vực BHXH, BHYT là việc triển khai chi trả không dùng tiền mặt và cập nhật, đồng bộ dữ liệu người tham gia BHXH, BHYT với Cơ sở dữ liệu quốc gia về dân cư.</w:t>
      </w:r>
    </w:p>
    <w:p w14:paraId="23F98C18" w14:textId="77777777" w:rsidR="00B52DEF" w:rsidRPr="00B52DEF" w:rsidRDefault="00B52DEF" w:rsidP="00E33D73">
      <w:pPr>
        <w:ind w:firstLine="720"/>
        <w:jc w:val="both"/>
        <w:rPr>
          <w:b/>
          <w:bCs/>
        </w:rPr>
      </w:pPr>
      <w:r w:rsidRPr="00B52DEF">
        <w:rPr>
          <w:b/>
          <w:bCs/>
        </w:rPr>
        <w:t>1. Kết quả đạt được</w:t>
      </w:r>
    </w:p>
    <w:p w14:paraId="378038E8" w14:textId="77777777" w:rsidR="00B52DEF" w:rsidRPr="00B52DEF" w:rsidRDefault="00B52DEF" w:rsidP="00E33D73">
      <w:pPr>
        <w:ind w:firstLine="720"/>
        <w:jc w:val="both"/>
        <w:rPr>
          <w:b/>
          <w:bCs/>
        </w:rPr>
      </w:pPr>
      <w:r w:rsidRPr="00B52DEF">
        <w:rPr>
          <w:b/>
          <w:bCs/>
        </w:rPr>
        <w:t>1.1. Triển khai chi trả không dùng tiền mặt</w:t>
      </w:r>
    </w:p>
    <w:p w14:paraId="45D3A3B3" w14:textId="77777777" w:rsidR="00E33D73" w:rsidRPr="00E33D73" w:rsidRDefault="00E33D73" w:rsidP="00E33D73">
      <w:pPr>
        <w:ind w:firstLine="720"/>
        <w:jc w:val="both"/>
      </w:pPr>
      <w:r w:rsidRPr="00E33D73">
        <w:t>Thực hiện chỉ đạo của Thủ tướng Chính phủ, BHXH Việt Nam và Ủy ban nhân dân (UBND) tỉnh về việc đẩy mạnh chi trả dịch vụ an sinh xã hội qua phương tiện thanh toán không dùng tiền mặt, trong năm 2024 BHXH tỉnh đã tham mưu và ban hành các văn bản chỉ đạo như sau:</w:t>
      </w:r>
    </w:p>
    <w:p w14:paraId="633BD5B4" w14:textId="77777777" w:rsidR="00E33D73" w:rsidRPr="00E33D73" w:rsidRDefault="00E33D73" w:rsidP="00E33D73">
      <w:pPr>
        <w:ind w:firstLine="720"/>
        <w:jc w:val="both"/>
      </w:pPr>
      <w:r w:rsidRPr="00E33D73">
        <w:t>- Tham mưu UBND tỉnh ban hành Công văn số 501/UBND-KGVX ngày 24/4/2024 về việc tăng cường giải pháp thanh toán không dùng tiền mặt trong chi trả các chế độ BHXH, TCTN.</w:t>
      </w:r>
    </w:p>
    <w:p w14:paraId="098245C4" w14:textId="77777777" w:rsidR="00E33D73" w:rsidRPr="00E33D73" w:rsidRDefault="00E33D73" w:rsidP="00E33D73">
      <w:pPr>
        <w:ind w:firstLine="720"/>
        <w:jc w:val="both"/>
      </w:pPr>
      <w:r w:rsidRPr="00E33D73">
        <w:t>- Ban hành Quyết định số 176/QĐ-BHXH ngày 05/4/2024 về việc giao chỉ tiêu vận động, khuyến khích người nhận các chế độ BHXH, TCTN qua phương thức thanh toán không dùng tiền mặt khu vực đô thị năm 2024.</w:t>
      </w:r>
    </w:p>
    <w:p w14:paraId="65BB2ED7" w14:textId="77777777" w:rsidR="00E33D73" w:rsidRDefault="00E33D73" w:rsidP="00E33D73">
      <w:pPr>
        <w:ind w:firstLine="720"/>
        <w:jc w:val="both"/>
      </w:pPr>
      <w:r w:rsidRPr="00E33D73">
        <w:lastRenderedPageBreak/>
        <w:t>- Ký kết Kế hoạch phối hợp số 190/KHPH-CAT-BHXH ngày 28/5/2024 với Công an tỉnh An Giang về việc triển khai thực hiện Quy trình phối hợp phát triển thanh toán không dùng tiền mặt trong chi trả lương hưu, trợ cấp BHXH trên nền Cơ sở dữ liệu quốc gia về dân cư trên địa bàn tỉnh An Giang.</w:t>
      </w:r>
    </w:p>
    <w:p w14:paraId="6B7633E3" w14:textId="22D5BCAF" w:rsidR="00E33D73" w:rsidRDefault="00E33D73" w:rsidP="00E33D73">
      <w:pPr>
        <w:ind w:firstLine="720"/>
        <w:jc w:val="both"/>
      </w:pPr>
      <w:r>
        <w:t>- Tham mưu UBND tỉnh ban hành văn bản chỉ đạo các Sở, Ban, ngành, đoàn thể, UBND các huyện, thị xã, thành phố, Ngân hàng Nhà nước chi nhánh An Giang, Bưu điện tỉnh và các đơn vị, doanh nghiệp có vốn nhà nước tiếp tục triển khai thực hiện có hiệu quả việc đẩy mạnh thanh toán không dùng tiền mặt trong chi trả các chế độ BHXH, TCTN (Công văn số 501/UBND-KGVX ngày 24/4/2024 về việc tăng cường giải pháp thanh toán không dùng tiền mặt trong chi trả các chế độ BHXH, TCTN).</w:t>
      </w:r>
    </w:p>
    <w:p w14:paraId="3D26D3D8" w14:textId="52B0A6E2" w:rsidR="00E33D73" w:rsidRDefault="00E33D73" w:rsidP="00E33D73">
      <w:pPr>
        <w:ind w:firstLine="720"/>
        <w:jc w:val="both"/>
      </w:pPr>
      <w:r>
        <w:t xml:space="preserve">Phối hợp với các đơn vị có liên quan vận động, phát triển người hưởng lương hưu, trợ cấp BHXH, TCTN sử dụng phương tiện thanh toán không dùng tiền mặt được triển khai thường xuyên. </w:t>
      </w:r>
      <w:r w:rsidRPr="00E33D73">
        <w:t xml:space="preserve">Đẩy mạnh tuyên truyền, phổ biến sâu rộng trên các phương tiện thông tin đại chúng như website, facebook, </w:t>
      </w:r>
      <w:proofErr w:type="gramStart"/>
      <w:r w:rsidRPr="00E33D73">
        <w:t>zalo,...</w:t>
      </w:r>
      <w:proofErr w:type="gramEnd"/>
      <w:r w:rsidRPr="00E33D73">
        <w:t xml:space="preserve"> chủ trương của Chính phủ, UBND tỉnh, của Ngành về đẩy mạnh việc người hưởng lương hưu, trợ cấp BHXH, TCTN sử dụng phương tiện thanh toán không dùng tiền mặt phù hợp với điều kiện và nhu cầu của người thụ hưởng; quy trình, thủ tục thực hiện; các sản phẩm, dịch vụ của Ngân hàng,....</w:t>
      </w:r>
    </w:p>
    <w:p w14:paraId="5E0D1724" w14:textId="559B4BA8" w:rsidR="00E33D73" w:rsidRDefault="00E33D73" w:rsidP="00E33D73">
      <w:pPr>
        <w:ind w:firstLine="720"/>
        <w:jc w:val="both"/>
      </w:pPr>
      <w:r>
        <w:t>Kết quả thực hiện năm 2024: Tỷ lệ người nhận các chế độ BHXH, TCTN qua phương thức không dùng tiền mặt tại khu vực đô thị theo từng chế độ cụ thể như sau:</w:t>
      </w:r>
    </w:p>
    <w:p w14:paraId="7A75102E" w14:textId="7C0301CF" w:rsidR="00804FB3" w:rsidRDefault="00804FB3" w:rsidP="00804FB3">
      <w:pPr>
        <w:ind w:firstLine="720"/>
        <w:jc w:val="both"/>
      </w:pPr>
      <w:r>
        <w:t>- Lương hưu, trợ cấp BHXH hàng tháng: 10.246/13.073 người, đạt tỷ lệ 78,38% (chỉ tiêu BHXH Việt Nam giao năm 2024 là 73%).</w:t>
      </w:r>
    </w:p>
    <w:p w14:paraId="77FAB416" w14:textId="3B776EE2" w:rsidR="00804FB3" w:rsidRDefault="00804FB3" w:rsidP="00804FB3">
      <w:pPr>
        <w:ind w:firstLine="720"/>
        <w:jc w:val="both"/>
      </w:pPr>
      <w:r>
        <w:t>- Chế độ BHXH một lần: 17.331/17.388 người, đạt tỷ lệ 99,67% (chỉ tiêu BHXH Việt Nam giao năm 2024 là 98%).</w:t>
      </w:r>
    </w:p>
    <w:p w14:paraId="36E752A3" w14:textId="77777777" w:rsidR="00804FB3" w:rsidRDefault="00804FB3" w:rsidP="00804FB3">
      <w:pPr>
        <w:ind w:firstLine="720"/>
        <w:jc w:val="both"/>
      </w:pPr>
      <w:r>
        <w:t>- TCTN: 13.399/13.412 người, đạt tỷ lệ 99,9% (chỉ tiêu BHXH Việt Nam giao năm 2024 là 99%).</w:t>
      </w:r>
      <w:r w:rsidR="00E33D73">
        <w:t xml:space="preserve"> </w:t>
      </w:r>
    </w:p>
    <w:p w14:paraId="52048AB8" w14:textId="06575B9F" w:rsidR="00E33D73" w:rsidRPr="00804FB3" w:rsidRDefault="00E33D73" w:rsidP="00804FB3">
      <w:pPr>
        <w:ind w:firstLine="720"/>
        <w:jc w:val="center"/>
        <w:rPr>
          <w:i/>
          <w:iCs/>
        </w:rPr>
      </w:pPr>
      <w:r w:rsidRPr="00804FB3">
        <w:rPr>
          <w:i/>
          <w:iCs/>
        </w:rPr>
        <w:t>(Đính kèm phụ lục</w:t>
      </w:r>
      <w:r w:rsidR="00972F2F">
        <w:rPr>
          <w:i/>
          <w:iCs/>
        </w:rPr>
        <w:t xml:space="preserve"> 01</w:t>
      </w:r>
      <w:r w:rsidRPr="00804FB3">
        <w:rPr>
          <w:i/>
          <w:iCs/>
        </w:rPr>
        <w:t xml:space="preserve"> tổng hợp số liệu chi trả)</w:t>
      </w:r>
    </w:p>
    <w:p w14:paraId="786462F6" w14:textId="41B24891" w:rsidR="00E33D73" w:rsidRPr="00E33D73" w:rsidRDefault="00E33D73" w:rsidP="00E33D73">
      <w:pPr>
        <w:ind w:firstLine="720"/>
        <w:jc w:val="both"/>
      </w:pPr>
      <w:r>
        <w:t xml:space="preserve">Tỷ lệ người hưởng các chế độ BHXH, TCTN năm 2024 đã đạt theo chỉ tiêu BHXH Việt Nam giao và tăng so với năm 2023, qua đó cho thấy công tác phối hợp, </w:t>
      </w:r>
      <w:r>
        <w:lastRenderedPageBreak/>
        <w:t>tuyên truyền, vận động, khuyến khích người hưởng trợ cấp BHXH và TCTN trên địa bàn tỉnh được triển khai đạt hiệu quả, người hưởng ngày càng nâng cao nhận thức trong việc sử dụng phương thức thanh toán không dùng tiền mặt.</w:t>
      </w:r>
    </w:p>
    <w:p w14:paraId="157CD8CF" w14:textId="77777777" w:rsidR="00B52DEF" w:rsidRPr="00B52DEF" w:rsidRDefault="00B52DEF" w:rsidP="00E33D73">
      <w:pPr>
        <w:ind w:firstLine="810"/>
        <w:jc w:val="both"/>
        <w:rPr>
          <w:b/>
          <w:bCs/>
        </w:rPr>
      </w:pPr>
      <w:r w:rsidRPr="00B52DEF">
        <w:rPr>
          <w:b/>
          <w:bCs/>
        </w:rPr>
        <w:t>1.2. Cập nhật, đồng bộ dữ liệu người tham gia BHXH, BHYT với Cơ sở dữ liệu quốc gia về dân cư</w:t>
      </w:r>
    </w:p>
    <w:p w14:paraId="492F11A7" w14:textId="77777777" w:rsidR="00014F46" w:rsidRDefault="00014F46" w:rsidP="00014F46">
      <w:pPr>
        <w:ind w:firstLine="810"/>
        <w:jc w:val="both"/>
      </w:pPr>
      <w:r>
        <w:t>BHXH tỉnh tiếp tục đẩy mạnh ứng dụng CNTT, chuyển đổi số trong từng lĩnh vực công tác của Ngành nhằm triển khai thực hiện thắng lợi các nhiệm vụ được giao theo đúng chỉ đạo của Chính phủ, BHXH Việt Nam, trong đó:</w:t>
      </w:r>
    </w:p>
    <w:p w14:paraId="2DC522B7" w14:textId="77777777" w:rsidR="00014F46" w:rsidRDefault="00014F46" w:rsidP="00014F46">
      <w:pPr>
        <w:ind w:firstLine="810"/>
        <w:jc w:val="both"/>
      </w:pPr>
      <w:r>
        <w:t xml:space="preserve">- Xây dựng Kế hoạch cập nhật, chuẩn hoá dữ liệu người tham gia BHXH, BHYT, BHTN phục vụ công tác chuyển đổi số năm 2024 (giao chỉ tiêu cụ thể cho các đơn vị trực thuộc); Kiện toàn Tổ công tác triển khai Quyết định số 06/QĐ-TTg ngày 06/01/2022 của Thủ tướng Chính phủ. </w:t>
      </w:r>
    </w:p>
    <w:p w14:paraId="7ED1814C" w14:textId="759DEA4E" w:rsidR="00014F46" w:rsidRDefault="00014F46" w:rsidP="00014F46">
      <w:pPr>
        <w:ind w:firstLine="810"/>
        <w:jc w:val="both"/>
      </w:pPr>
      <w:r>
        <w:t>- Chủ động, tích cực phối hợp với Công an tỉnh rà soát, cập nhật và xác thực số ĐDCN/CCCD giữa CSDL Quốc gia về dân cư với dữ liệu Ngành đang quản lý. Đến ngày 31/12/2024, có 1.662.779/1.689.456 người tham gia được xác thực đúng với CSDL quốc gia về dân cư, đạt tỷ lệ 98,42%</w:t>
      </w:r>
      <w:r w:rsidR="00203CD6">
        <w:t xml:space="preserve"> (</w:t>
      </w:r>
      <w:r w:rsidR="00203CD6" w:rsidRPr="00203CD6">
        <w:rPr>
          <w:i/>
          <w:iCs/>
        </w:rPr>
        <w:t>Phụ lục 0</w:t>
      </w:r>
      <w:r w:rsidR="00203CD6">
        <w:rPr>
          <w:i/>
          <w:iCs/>
        </w:rPr>
        <w:t>2</w:t>
      </w:r>
      <w:r w:rsidR="00203CD6">
        <w:t>).</w:t>
      </w:r>
      <w:r>
        <w:t xml:space="preserve"> </w:t>
      </w:r>
    </w:p>
    <w:p w14:paraId="465A3100" w14:textId="77777777" w:rsidR="00014F46" w:rsidRDefault="00014F46" w:rsidP="00014F46">
      <w:pPr>
        <w:ind w:firstLine="810"/>
        <w:jc w:val="both"/>
      </w:pPr>
      <w:r>
        <w:t>- Phối hợp với các Sở, ngành liên quan triển khai: sử dụng thẻ Căn cước công dân (CCCD) và ứng dụng định danh điện tử quốc gia (VNEID) phục vụ người dân đi KCB BHYT( ); liên thông dữ liệu khám sức khỏe lái xe, giấy chứng sinh, giấy báo tử từ cơ sở KCB, Sổ Sức khỏe điện tử; kết nối, tích hợp tài khoản định danh điện tử VneID trên ứng dụng VssID cho phép người dân có tài khoản VNEID có thể truy cập, sử dụng ứng dụng VssID; triển khai các DVC trực tuyến và 02 nhóm TTHC liên thông (Đăng ký khai sinh - đăng ký thường trú - cấp thẻ BHYT cho trẻ dưới 6 tuổi và Đăng ký khai tử - Xóa đăng ký thường trú - Hỗ trợ chi phí mai táng, Trợ cấp mai táng),…</w:t>
      </w:r>
    </w:p>
    <w:p w14:paraId="0D16B887" w14:textId="19BEC57C" w:rsidR="00014F46" w:rsidRDefault="00014F46" w:rsidP="00014F46">
      <w:pPr>
        <w:ind w:firstLine="810"/>
        <w:jc w:val="both"/>
      </w:pPr>
      <w:r>
        <w:t>- Tiếp tục hoàn thiện và phát triển các phần mềm nghiệp vụ, các tiện ích mới để đáp ứng yêu cầu quản lý và phục vụ, đảm bảo quyền lợi tối đa cho người dân, doanh nghiệp. Triển khai rộng rãi các tính năng, tiện ích của ứng dụng VssID - BHXH số, trong năm 2024 địa bàn tỉnh có 132.164/122.097 người đăng ký, đạt 108,25% kế hoạch; lũy kế từ năm 2021 đến cuối tháng 12/2024, có 933.694 lượt người đăng ký</w:t>
      </w:r>
      <w:r w:rsidR="00203CD6">
        <w:t xml:space="preserve"> (</w:t>
      </w:r>
      <w:r w:rsidR="00203CD6" w:rsidRPr="00203CD6">
        <w:rPr>
          <w:i/>
          <w:iCs/>
        </w:rPr>
        <w:t>Phụ lục 0</w:t>
      </w:r>
      <w:r w:rsidR="00203CD6">
        <w:rPr>
          <w:i/>
          <w:iCs/>
        </w:rPr>
        <w:t>3</w:t>
      </w:r>
      <w:r w:rsidR="00203CD6">
        <w:t>).</w:t>
      </w:r>
    </w:p>
    <w:p w14:paraId="6B8565A6" w14:textId="77777777" w:rsidR="00014F46" w:rsidRDefault="00014F46" w:rsidP="00014F46">
      <w:pPr>
        <w:ind w:firstLine="810"/>
        <w:jc w:val="both"/>
      </w:pPr>
      <w:r>
        <w:lastRenderedPageBreak/>
        <w:t>- Xây dựng Kế hoạch thực hiện Nghị quyết số 398-NQ/BCSĐ ngày 15/3/2024 của Ban cán sự Đảng BHXH Việt Nam về việc tăng cường công tác bảo đảm an toàn thông tin mạng ngành BHXH Việt Nam; chỉ đạo các đơn vị trực thuộc tăng cường công tác bảo đảm an toàn thông tin, bảo mật dữ liệu, bảo vệ bí mật nhà nước trên không gian mạng. Triển khai Chiến dịch tuyên truyền “Kỹ năng nhận diện và phòng chống lừa đảo trực tuyến bảo vệ người dân trên không gian mạng năm 2024”. Tập huấn hướng dẫn ứng dụng trí tuệ nhân tạo công cụ AI cơ bản phục vụ nghiệp vụ.</w:t>
      </w:r>
    </w:p>
    <w:p w14:paraId="37DC68C9" w14:textId="2C1CE4E1" w:rsidR="00B52DEF" w:rsidRPr="00B52DEF" w:rsidRDefault="00B52DEF" w:rsidP="00014F46">
      <w:pPr>
        <w:ind w:firstLine="720"/>
        <w:jc w:val="both"/>
        <w:rPr>
          <w:b/>
          <w:bCs/>
        </w:rPr>
      </w:pPr>
      <w:r w:rsidRPr="00B52DEF">
        <w:rPr>
          <w:b/>
          <w:bCs/>
        </w:rPr>
        <w:t>2. Khó khăn, thách thức</w:t>
      </w:r>
    </w:p>
    <w:p w14:paraId="6584E9A8" w14:textId="609A4F55" w:rsidR="00014F46" w:rsidRPr="00014F46" w:rsidRDefault="00014F46" w:rsidP="00E33D73">
      <w:pPr>
        <w:ind w:firstLine="720"/>
        <w:jc w:val="both"/>
        <w:rPr>
          <w:b/>
          <w:bCs/>
        </w:rPr>
      </w:pPr>
      <w:r w:rsidRPr="00014F46">
        <w:rPr>
          <w:b/>
          <w:bCs/>
        </w:rPr>
        <w:t>2.1. Về chi trả không dùng tiền mặt</w:t>
      </w:r>
    </w:p>
    <w:p w14:paraId="08283D7C" w14:textId="7AADD5E9" w:rsidR="00014F46" w:rsidRDefault="00014F46" w:rsidP="00014F46">
      <w:pPr>
        <w:ind w:firstLine="720"/>
        <w:jc w:val="both"/>
      </w:pPr>
      <w:r>
        <w:t>- Từ người hưởng: Số người nhận lương hưu và trợ cấp BHXH hàng tháng còn đang lĩnh bằng tiền mặt đa số là người cao tuổi, không thông thạo công nghệ, thao tác chậm, lo sợ gặp sự cố trong giao dịch thẻ ATM nên không muốn thay đổi sang hình thức nhận qua tài khoản cá nhân.</w:t>
      </w:r>
    </w:p>
    <w:p w14:paraId="49481B6D" w14:textId="2CC96D19" w:rsidR="00014F46" w:rsidRDefault="00014F46" w:rsidP="00014F46">
      <w:pPr>
        <w:ind w:firstLine="720"/>
        <w:jc w:val="both"/>
      </w:pPr>
      <w:r>
        <w:t>- Từ các ngân hàng thương mại: Hệ thống máy ATM và điểm giao dịch của các Ngân hàng thương mại được đặt ở hầu hết tại trung tâm xã, phường, thị trấn, các khu vực khác còn rất hạn chế nên việc vận động người hưởng nhận các chế độ BHXH, TCTN qua tài khoản cá nhân vẫn còn khó khăn, nhất là người ở vùng sâu, vùng xa, vùng dân tộc thiểu số.</w:t>
      </w:r>
    </w:p>
    <w:p w14:paraId="6F131BF0" w14:textId="2022D379" w:rsidR="00014F46" w:rsidRPr="00014F46" w:rsidRDefault="00014F46" w:rsidP="00014F46">
      <w:pPr>
        <w:ind w:firstLine="720"/>
        <w:jc w:val="both"/>
        <w:rPr>
          <w:b/>
          <w:bCs/>
        </w:rPr>
      </w:pPr>
      <w:r w:rsidRPr="00014F46">
        <w:rPr>
          <w:b/>
          <w:bCs/>
        </w:rPr>
        <w:t>2.2. Cập nhật, đồng bộ dữ liệu người tham gia BHXH, BHYT với Cơ sở dữ liệu quốc gia về dân cư</w:t>
      </w:r>
    </w:p>
    <w:p w14:paraId="07CB8576" w14:textId="5EDF02E7" w:rsidR="00B52DEF" w:rsidRPr="00B52DEF" w:rsidRDefault="00E33D73" w:rsidP="00E33D73">
      <w:pPr>
        <w:ind w:firstLine="720"/>
        <w:jc w:val="both"/>
      </w:pPr>
      <w:r>
        <w:t xml:space="preserve">- </w:t>
      </w:r>
      <w:r w:rsidR="00B52DEF" w:rsidRPr="00B52DEF">
        <w:t>Việc cập nhật, đồng bộ dữ liệu vẫn còn một số khó khăn do thông tin trong các hệ thống chưa hoàn toàn thống nhất, đòi hỏi phải có sự phối hợp chặt chẽ giữa các cơ quan liên quan.</w:t>
      </w:r>
    </w:p>
    <w:p w14:paraId="25CBA21D" w14:textId="1DF0D265" w:rsidR="00B52DEF" w:rsidRPr="00B52DEF" w:rsidRDefault="00E33D73" w:rsidP="00E33D73">
      <w:pPr>
        <w:ind w:firstLine="720"/>
        <w:jc w:val="both"/>
      </w:pPr>
      <w:r>
        <w:t xml:space="preserve">- </w:t>
      </w:r>
      <w:r w:rsidR="00014F46">
        <w:t>Chưa có cơ chế phối hợp phản hồi từ công an và BHXH đối với các trường hợp cấp mới, cấp điều chỉnh thông tin CCCD.</w:t>
      </w:r>
    </w:p>
    <w:p w14:paraId="1016E664" w14:textId="77777777" w:rsidR="00B52DEF" w:rsidRPr="00B52DEF" w:rsidRDefault="00B52DEF" w:rsidP="00E33D73">
      <w:pPr>
        <w:ind w:firstLine="810"/>
        <w:jc w:val="both"/>
        <w:rPr>
          <w:b/>
          <w:bCs/>
        </w:rPr>
      </w:pPr>
      <w:r w:rsidRPr="00B52DEF">
        <w:rPr>
          <w:b/>
          <w:bCs/>
        </w:rPr>
        <w:t>3. Giải pháp trọng tâm trong năm 2025</w:t>
      </w:r>
    </w:p>
    <w:p w14:paraId="5991321D" w14:textId="77777777" w:rsidR="00B52DEF" w:rsidRPr="00B52DEF" w:rsidRDefault="00B52DEF" w:rsidP="00E33D73">
      <w:pPr>
        <w:ind w:firstLine="810"/>
        <w:jc w:val="both"/>
        <w:rPr>
          <w:b/>
          <w:bCs/>
        </w:rPr>
      </w:pPr>
      <w:r w:rsidRPr="00B52DEF">
        <w:rPr>
          <w:b/>
          <w:bCs/>
        </w:rPr>
        <w:t>3.1. Đẩy mạnh truyền thông, vận động người dân sử dụng phương thức thanh toán không dùng tiền mặt</w:t>
      </w:r>
    </w:p>
    <w:p w14:paraId="323C6DAF" w14:textId="77777777" w:rsidR="00B52DEF" w:rsidRPr="00B52DEF" w:rsidRDefault="00B52DEF" w:rsidP="00E33D73">
      <w:pPr>
        <w:ind w:firstLine="720"/>
        <w:jc w:val="both"/>
      </w:pPr>
      <w:r w:rsidRPr="00B52DEF">
        <w:lastRenderedPageBreak/>
        <w:t>Tăng cường phối hợp với ngân hàng, tổ chức tài chính để hỗ trợ người hưởng mở tài khoản, hướng dẫn sử dụng dịch vụ ngân hàng số.</w:t>
      </w:r>
    </w:p>
    <w:p w14:paraId="5348A2AC" w14:textId="77777777" w:rsidR="00B52DEF" w:rsidRDefault="00B52DEF" w:rsidP="00E33D73">
      <w:pPr>
        <w:ind w:firstLine="720"/>
        <w:jc w:val="both"/>
      </w:pPr>
      <w:r w:rsidRPr="00B52DEF">
        <w:t>Xây dựng các chương trình tuyên truyền qua nhiều hình thức như hội thảo, hội nghị trực tuyến, mạng xã hội nhằm thay đổi thói quen của người dân, đặc biệt là nhóm người cao tuổi.</w:t>
      </w:r>
    </w:p>
    <w:p w14:paraId="53D0ED15" w14:textId="0365D01F" w:rsidR="00DB4C8D" w:rsidRPr="00B52DEF" w:rsidRDefault="00DB4C8D" w:rsidP="00DB4C8D">
      <w:pPr>
        <w:ind w:firstLine="720"/>
        <w:jc w:val="both"/>
      </w:pPr>
      <w:r>
        <w:t>Xây dựng kế hoạch triển khai chiến dịch “Chuyển đổi số vì an sinh xã hội”; tổ chức cuộc thi “Sáng tạo ứng dụng công nghệ số”.</w:t>
      </w:r>
    </w:p>
    <w:p w14:paraId="249580FE" w14:textId="77777777" w:rsidR="00B52DEF" w:rsidRPr="00B52DEF" w:rsidRDefault="00B52DEF" w:rsidP="00E33D73">
      <w:pPr>
        <w:ind w:firstLine="810"/>
        <w:jc w:val="both"/>
        <w:rPr>
          <w:b/>
          <w:bCs/>
        </w:rPr>
      </w:pPr>
      <w:r w:rsidRPr="00B52DEF">
        <w:rPr>
          <w:b/>
          <w:bCs/>
        </w:rPr>
        <w:t>3.2. Tiếp tục hoàn thiện hạ tầng công nghệ và cơ sở dữ liệu</w:t>
      </w:r>
    </w:p>
    <w:p w14:paraId="16826851" w14:textId="77777777" w:rsidR="00B52DEF" w:rsidRPr="00B52DEF" w:rsidRDefault="00B52DEF" w:rsidP="00E33D73">
      <w:pPr>
        <w:ind w:firstLine="720"/>
        <w:jc w:val="both"/>
      </w:pPr>
      <w:r w:rsidRPr="00B52DEF">
        <w:t>Phối hợp với Sở Thông tin và Truyền thông, Công an tỉnh để tiếp tục rà soát, làm sạch dữ liệu, đảm bảo đồng bộ, chính xác thông tin người tham gia BHXH, BHYT với Cơ sở dữ liệu quốc gia về dân cư.</w:t>
      </w:r>
    </w:p>
    <w:p w14:paraId="23E8AF50" w14:textId="77777777" w:rsidR="00B52DEF" w:rsidRPr="00B52DEF" w:rsidRDefault="00B52DEF" w:rsidP="00E33D73">
      <w:pPr>
        <w:ind w:firstLine="720"/>
        <w:jc w:val="both"/>
      </w:pPr>
      <w:r w:rsidRPr="00B52DEF">
        <w:t>Đẩy mạnh tích hợp các dịch vụ công trực tuyến, giúp người dân có thể thực hiện các giao dịch BHXH, BHYT một cách nhanh chóng, thuận tiện.</w:t>
      </w:r>
    </w:p>
    <w:p w14:paraId="309A5945" w14:textId="77777777" w:rsidR="00B52DEF" w:rsidRPr="00B52DEF" w:rsidRDefault="00B52DEF" w:rsidP="00E33D73">
      <w:pPr>
        <w:ind w:firstLine="810"/>
        <w:jc w:val="both"/>
        <w:rPr>
          <w:b/>
          <w:bCs/>
        </w:rPr>
      </w:pPr>
      <w:r w:rsidRPr="00B52DEF">
        <w:rPr>
          <w:b/>
          <w:bCs/>
        </w:rPr>
        <w:t>3.3. Nâng cao hiệu quả phối hợp liên ngành</w:t>
      </w:r>
    </w:p>
    <w:p w14:paraId="2C5F714D" w14:textId="33DEBF83" w:rsidR="00B52DEF" w:rsidRPr="00B52DEF" w:rsidRDefault="00DB4C8D" w:rsidP="00E33D73">
      <w:pPr>
        <w:ind w:firstLine="720"/>
        <w:jc w:val="both"/>
      </w:pPr>
      <w:r>
        <w:t xml:space="preserve">Tiếp tục thực hiện Quyết định số 455/QĐ-BHXH ngày 21/5/2021 của BHXH Việt Nam về Kế hoạch triển khai thực hiện Nghị định số 43/2021/NĐ-CP ngày 31/3/2021 của Chính phủ quy định Cơ sở dữ liệu quốc gia về Bảo hiểm xã hội. </w:t>
      </w:r>
      <w:r w:rsidR="00B52DEF" w:rsidRPr="00B52DEF">
        <w:t>Tiếp tục phối hợp chặt chẽ với các cơ quan liên quan để triển khai đồng bộ các giải pháp về chi trả không dùng tiền mặt và quản lý dữ liệu BHXH, BHYT.</w:t>
      </w:r>
    </w:p>
    <w:p w14:paraId="648A6A84" w14:textId="77777777" w:rsidR="00B52DEF" w:rsidRDefault="00B52DEF" w:rsidP="00E33D73">
      <w:pPr>
        <w:ind w:firstLine="720"/>
        <w:jc w:val="both"/>
      </w:pPr>
      <w:r w:rsidRPr="00B52DEF">
        <w:t>Tăng cường tập huấn, hướng dẫn cho cán bộ các đơn vị chi trả, cơ sở khám chữa bệnh về quy trình sử dụng CCCD thay thế thẻ BHYT và các phương thức thanh toán điện tử.</w:t>
      </w:r>
    </w:p>
    <w:p w14:paraId="07E5F160" w14:textId="316253F7" w:rsidR="00B52DEF" w:rsidRPr="00B52DEF" w:rsidRDefault="00B52DEF" w:rsidP="00E33D73">
      <w:pPr>
        <w:ind w:firstLine="720"/>
        <w:jc w:val="both"/>
      </w:pPr>
      <w:r w:rsidRPr="00B52DEF">
        <w:t>Việc triển khai chi trả không dùng tiền mặt và đồng bộ dữ liệu người tham gia BHXH, BHYT với Cơ sở dữ liệu quốc gia về dân cư là bước tiến quan trọng trong tiến trình chuyển đổi số</w:t>
      </w:r>
      <w:r w:rsidR="00E33D73">
        <w:t>, đảm bảo phục vụ 1,7 triệu người tham gia BHXH, BHYT</w:t>
      </w:r>
      <w:r w:rsidRPr="00B52DEF">
        <w:t>. Để thực hiện hiệu quả nhiệm vụ này, BHXH tỉnh An Giang xác định cần có sự phối hợp chặt chẽ giữa các ngành, sự vào cuộc quyết liệt của chính quyền các cấp và sự đồng thuận của người dân.</w:t>
      </w:r>
    </w:p>
    <w:p w14:paraId="1B699EA2" w14:textId="77777777" w:rsidR="00B52DEF" w:rsidRPr="00B52DEF" w:rsidRDefault="00B52DEF" w:rsidP="00E33D73">
      <w:pPr>
        <w:ind w:firstLine="720"/>
        <w:jc w:val="both"/>
      </w:pPr>
      <w:r w:rsidRPr="00B52DEF">
        <w:t xml:space="preserve">Trong năm 2025, với tinh thần đổi mới, sáng tạo, BHXH tỉnh An Giang cam kết sẽ tiếp tục đẩy mạnh ứng dụng công nghệ thông tin, cải tiến quy trình nghiệp vụ, </w:t>
      </w:r>
      <w:r w:rsidRPr="00B52DEF">
        <w:lastRenderedPageBreak/>
        <w:t>nhằm nâng cao chất lượng phục vụ người dân, hướng tới mục tiêu xây dựng một nền an sinh xã hội hiện đại, hiệu quả và bền vững.</w:t>
      </w:r>
    </w:p>
    <w:p w14:paraId="3DF76D84" w14:textId="77777777" w:rsidR="00B52DEF" w:rsidRPr="00B52DEF" w:rsidRDefault="00B52DEF" w:rsidP="00E33D73">
      <w:pPr>
        <w:ind w:firstLine="810"/>
        <w:jc w:val="both"/>
      </w:pPr>
      <w:r w:rsidRPr="00B52DEF">
        <w:rPr>
          <w:b/>
          <w:bCs/>
        </w:rPr>
        <w:t>Xin trân trọng cảm ơn!</w:t>
      </w:r>
    </w:p>
    <w:p w14:paraId="49EB60EA" w14:textId="77777777" w:rsidR="00A30209" w:rsidRDefault="00A30209" w:rsidP="00E33D73">
      <w:pPr>
        <w:jc w:val="both"/>
      </w:pPr>
    </w:p>
    <w:sectPr w:rsidR="00A30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DD0"/>
    <w:multiLevelType w:val="multilevel"/>
    <w:tmpl w:val="21D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1145C"/>
    <w:multiLevelType w:val="multilevel"/>
    <w:tmpl w:val="92DC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53936"/>
    <w:multiLevelType w:val="multilevel"/>
    <w:tmpl w:val="FEB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4004F"/>
    <w:multiLevelType w:val="multilevel"/>
    <w:tmpl w:val="185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46F08"/>
    <w:multiLevelType w:val="multilevel"/>
    <w:tmpl w:val="CCF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74072"/>
    <w:multiLevelType w:val="multilevel"/>
    <w:tmpl w:val="49D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216224">
    <w:abstractNumId w:val="5"/>
  </w:num>
  <w:num w:numId="2" w16cid:durableId="1321691824">
    <w:abstractNumId w:val="4"/>
  </w:num>
  <w:num w:numId="3" w16cid:durableId="1356805920">
    <w:abstractNumId w:val="2"/>
  </w:num>
  <w:num w:numId="4" w16cid:durableId="1768496544">
    <w:abstractNumId w:val="1"/>
  </w:num>
  <w:num w:numId="5" w16cid:durableId="2113820400">
    <w:abstractNumId w:val="3"/>
  </w:num>
  <w:num w:numId="6" w16cid:durableId="106850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EF"/>
    <w:rsid w:val="00014F46"/>
    <w:rsid w:val="000F6465"/>
    <w:rsid w:val="00203CD6"/>
    <w:rsid w:val="002E1482"/>
    <w:rsid w:val="004A73B1"/>
    <w:rsid w:val="00804FB3"/>
    <w:rsid w:val="008B60EA"/>
    <w:rsid w:val="00972F2F"/>
    <w:rsid w:val="009F08A3"/>
    <w:rsid w:val="00A30209"/>
    <w:rsid w:val="00B52DEF"/>
    <w:rsid w:val="00C21819"/>
    <w:rsid w:val="00D14D70"/>
    <w:rsid w:val="00DB4C8D"/>
    <w:rsid w:val="00E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553"/>
  <w15:chartTrackingRefBased/>
  <w15:docId w15:val="{7C3D2136-7621-4770-BC96-C024F282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DEF"/>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B52D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2D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2D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2DE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2DE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2DE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DEF"/>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B52D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2D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2D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2D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2D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2D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2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DE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52DE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52DEF"/>
    <w:pPr>
      <w:spacing w:before="160"/>
      <w:jc w:val="center"/>
    </w:pPr>
    <w:rPr>
      <w:i/>
      <w:iCs/>
      <w:color w:val="404040" w:themeColor="text1" w:themeTint="BF"/>
    </w:rPr>
  </w:style>
  <w:style w:type="character" w:customStyle="1" w:styleId="QuoteChar">
    <w:name w:val="Quote Char"/>
    <w:basedOn w:val="DefaultParagraphFont"/>
    <w:link w:val="Quote"/>
    <w:uiPriority w:val="29"/>
    <w:rsid w:val="00B52DEF"/>
    <w:rPr>
      <w:i/>
      <w:iCs/>
      <w:color w:val="404040" w:themeColor="text1" w:themeTint="BF"/>
    </w:rPr>
  </w:style>
  <w:style w:type="paragraph" w:styleId="ListParagraph">
    <w:name w:val="List Paragraph"/>
    <w:basedOn w:val="Normal"/>
    <w:uiPriority w:val="34"/>
    <w:qFormat/>
    <w:rsid w:val="00B52DEF"/>
    <w:pPr>
      <w:ind w:left="720"/>
      <w:contextualSpacing/>
    </w:pPr>
  </w:style>
  <w:style w:type="character" w:styleId="IntenseEmphasis">
    <w:name w:val="Intense Emphasis"/>
    <w:basedOn w:val="DefaultParagraphFont"/>
    <w:uiPriority w:val="21"/>
    <w:qFormat/>
    <w:rsid w:val="00B52DEF"/>
    <w:rPr>
      <w:i/>
      <w:iCs/>
      <w:color w:val="0F4761" w:themeColor="accent1" w:themeShade="BF"/>
    </w:rPr>
  </w:style>
  <w:style w:type="paragraph" w:styleId="IntenseQuote">
    <w:name w:val="Intense Quote"/>
    <w:basedOn w:val="Normal"/>
    <w:next w:val="Normal"/>
    <w:link w:val="IntenseQuoteChar"/>
    <w:uiPriority w:val="30"/>
    <w:qFormat/>
    <w:rsid w:val="00B52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DEF"/>
    <w:rPr>
      <w:i/>
      <w:iCs/>
      <w:color w:val="0F4761" w:themeColor="accent1" w:themeShade="BF"/>
    </w:rPr>
  </w:style>
  <w:style w:type="character" w:styleId="IntenseReference">
    <w:name w:val="Intense Reference"/>
    <w:basedOn w:val="DefaultParagraphFont"/>
    <w:uiPriority w:val="32"/>
    <w:qFormat/>
    <w:rsid w:val="00B52D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3004">
      <w:bodyDiv w:val="1"/>
      <w:marLeft w:val="0"/>
      <w:marRight w:val="0"/>
      <w:marTop w:val="0"/>
      <w:marBottom w:val="0"/>
      <w:divBdr>
        <w:top w:val="none" w:sz="0" w:space="0" w:color="auto"/>
        <w:left w:val="none" w:sz="0" w:space="0" w:color="auto"/>
        <w:bottom w:val="none" w:sz="0" w:space="0" w:color="auto"/>
        <w:right w:val="none" w:sz="0" w:space="0" w:color="auto"/>
      </w:divBdr>
    </w:div>
    <w:div w:id="18603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ANHTRUNG</dc:creator>
  <cp:keywords/>
  <dc:description/>
  <cp:lastModifiedBy>ANHTRUNG</cp:lastModifiedBy>
  <cp:revision>2</cp:revision>
  <dcterms:created xsi:type="dcterms:W3CDTF">2025-02-24T02:07:00Z</dcterms:created>
  <dcterms:modified xsi:type="dcterms:W3CDTF">2025-02-24T02:07:00Z</dcterms:modified>
</cp:coreProperties>
</file>